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3B" w:rsidRPr="00FB1481" w:rsidRDefault="0030163B" w:rsidP="0030163B">
      <w:pPr>
        <w:pStyle w:val="Header"/>
        <w:jc w:val="center"/>
        <w:rPr>
          <w:b/>
        </w:rPr>
      </w:pPr>
      <w:r w:rsidRPr="00FB1481">
        <w:rPr>
          <w:b/>
        </w:rPr>
        <w:t>Climate Change Vulnerability of Trees Common to the Boston Region or Likely to Gain Habitat</w:t>
      </w:r>
    </w:p>
    <w:p w:rsidR="0030163B" w:rsidRDefault="0030163B" w:rsidP="0030163B">
      <w:pPr>
        <w:pStyle w:val="Header"/>
        <w:jc w:val="center"/>
      </w:pPr>
      <w:r>
        <w:t>DRAFT-January 18, 2019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95"/>
        <w:gridCol w:w="1260"/>
        <w:gridCol w:w="1260"/>
        <w:gridCol w:w="1080"/>
        <w:gridCol w:w="1080"/>
        <w:gridCol w:w="1124"/>
        <w:gridCol w:w="1380"/>
        <w:gridCol w:w="1099"/>
        <w:gridCol w:w="987"/>
      </w:tblGrid>
      <w:tr w:rsidR="00B71EAB" w:rsidRPr="00A67341" w:rsidTr="00AF56EB">
        <w:trPr>
          <w:trHeight w:val="810"/>
          <w:tblHeader/>
        </w:trPr>
        <w:tc>
          <w:tcPr>
            <w:tcW w:w="1895" w:type="dxa"/>
            <w:shd w:val="clear" w:color="auto" w:fill="auto"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Latin </w:t>
            </w:r>
            <w:r w:rsidR="009122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</w:t>
            </w:r>
          </w:p>
        </w:tc>
        <w:tc>
          <w:tcPr>
            <w:tcW w:w="1795" w:type="dxa"/>
            <w:shd w:val="clear" w:color="auto" w:fill="auto"/>
            <w:vAlign w:val="bottom"/>
            <w:hideMark/>
          </w:tcPr>
          <w:p w:rsidR="0030163B" w:rsidRPr="00A67341" w:rsidRDefault="0030163B" w:rsidP="009122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Common </w:t>
            </w:r>
            <w:r w:rsidR="009122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Heat/Hardiness Zone Effect</w:t>
            </w:r>
            <w:r w:rsidR="00AF56EB" w:rsidRPr="00AF56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Tree Atlas-Low Emissions</w:t>
            </w:r>
            <w:r w:rsidR="00AF56EB" w:rsidRPr="00AF56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Tree Atlas-High Emissions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30163B" w:rsidRPr="00AF56EB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Adapt Class-developed/planted sites</w:t>
            </w:r>
            <w:r w:rsidR="00AF56EB" w:rsidRPr="00AF56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24" w:type="dxa"/>
            <w:shd w:val="clear" w:color="auto" w:fill="auto"/>
            <w:vAlign w:val="bottom"/>
            <w:hideMark/>
          </w:tcPr>
          <w:p w:rsidR="0030163B" w:rsidRPr="00A67341" w:rsidRDefault="006534F4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Adapt </w:t>
            </w:r>
            <w:r w:rsidR="0030163B"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Class-</w:t>
            </w:r>
            <w:r w:rsidR="009122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na</w:t>
            </w:r>
            <w:r w:rsidR="0030163B"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tural areas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30163B" w:rsidRPr="00AF56EB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Vulnerability-developed/planted sites</w:t>
            </w:r>
            <w:r w:rsidR="00AF56EB" w:rsidRPr="00AF56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Vulnerability-</w:t>
            </w:r>
            <w:r w:rsidR="0091221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tural areas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30163B" w:rsidRPr="00AF56EB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A67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Notes</w:t>
            </w:r>
            <w:r w:rsidR="00AF56E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Abies balsamea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Balsam fir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buergerianum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Trident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campestre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Hedge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‎Acer gin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la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Amur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Invasive,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griseum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Paperbark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miyabei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Miyabei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pensylvanicum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Striped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platanoides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Norway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invasive,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rubrum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Red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saccharinum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Silver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Acer saccharum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Sugar maple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Aesculus hippocastanum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European horsechesnut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Amelanchier</w:t>
            </w:r>
            <w:r w:rsidR="006534F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 spp.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Serviceberry</w:t>
            </w:r>
            <w:r w:rsidR="006534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spp.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Asimi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triloba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Pawpaw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 xml:space="preserve">low 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Betula alleghaniensis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Yellow birch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Betula lenta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Sweet birch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Betula nigra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River birch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Betula papyrifera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Paper birch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Betula populifolia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Gray birch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Carpinus carolinia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hornbeam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Carya alba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Mockernut hickory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Carya cordiformis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Bitternut hickory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Carya glabra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Pignut hickory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Carya illinoinensis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Pecan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lastRenderedPageBreak/>
              <w:t>Carya laciniosa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Shellbark hickory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Carya ovata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Shagbark hickory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Carya texa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 hickory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Castanea dentata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chestnut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Celtis laevigata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Sugarberry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Celtis occidentalis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Hackberry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Cercidiphyllum japonicum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Katsura 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Cercis ca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densis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Eastern redbud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Chamaecyparis thyoides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Atlantic white-cedar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Cladrastis kentukea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Yellowwood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Cornus Florida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Flowering dogwood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Cornus kousa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Kousa dogwood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Diospyros virginia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Common persimmon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Fagus grandifolia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beech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BBD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Fraxinus america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 ash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EAB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Fraxinus pennsylvanica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Green ash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EAB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Ginkgo biloba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Ginkgo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Gleditsia triacanthos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Honeylocust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Gymnocladus dioicus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Kentucky coffeetree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Ilex opaca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holly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Juglans nigra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Eastern black walnut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Juniperus virginia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Eastern redcedar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Koelreuteria paniculata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Golden 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Liquidambar styraciflua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sweetgum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Liriodendron tulipifera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Tulip 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Maackia amurensis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Amur maackia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Maclura pomifera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Osage-orange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Malus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Crabapple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Metasequoia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Dawn redwood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lastRenderedPageBreak/>
              <w:t>Morus rubra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Red mulberry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Nyssa sylvatica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Blackgum/Black tupelo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Ostrya virginia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Eastern hophornbeam/ironwood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Oxydendrum arboreum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Sourwood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Parrotia persica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Persian ironwood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Picea abies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Norway spruce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SB, PSB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Picea rubens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Red spruce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clausa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Sand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echi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Shortleaf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resinosa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Red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C7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rigida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Pitch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C7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seroti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Pond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strobus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Eastern white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C7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WPBR, 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taeda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Loblolly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Pinus virginia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Virginia pine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Platanus occidentalis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sycamore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Populus deltoides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Eastern cottonwood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Populus grandidentata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Bigtooth aspen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C7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high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Populus tremuloides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Quaking aspen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C7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× yedoensis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Yoshino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pensylvanica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persica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Peach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sargentii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Sargent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seroti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serrulata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Kwansan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'Snowgoose'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Snowgoose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lastRenderedPageBreak/>
              <w:t>Prunus virginia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Chokecherry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Prunus x incamp ‘Okame’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Okame cherry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Pyrus callerya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Callery pear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invasive, GM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alba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bicolor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Swamp white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coccinea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Scarlet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falcata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Southern red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imbricaria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Shingle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laevis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Turkey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macrocarpa x robur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Heritage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marilandica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Blackjack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michauxii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Swamp chestnut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muehlenbergii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Chinkapin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nigra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Water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pagoda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Cherrybark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88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palustris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phellos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Willow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prinus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Chestnut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robur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English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rubra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Northern red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stellata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Post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Quercus veluti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 oak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no change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GM, OW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Robinia pseudoacacia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 locust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Salix babylonica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Weeping willow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Salix nigra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 willow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GM,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Sassafras albidum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Sassafras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lastRenderedPageBreak/>
              <w:t>Styphnolobium japonicum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Japanese pagoda 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invasive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Syringa reticulata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Japanese tree lilac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Taxodium distichum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Baldcypress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Thuja occidentalis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Northern white-cedar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1099" w:type="dxa"/>
            <w:shd w:val="clear" w:color="000000" w:fill="F4B084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moderate-high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Tilia america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basswood/linden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extirpated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Tilia cordata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Littleleaf linden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negative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Tilia tomentosa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Silver linden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GM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Tsuga ca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densis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</w:t>
            </w:r>
            <w:r w:rsidR="009122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dian hemlock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large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C7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high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Ulmus alata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Winged elm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low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DED,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Ulmus america</w:t>
            </w:r>
            <w:r w:rsidR="0091221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American elm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small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380" w:type="dxa"/>
            <w:shd w:val="clear" w:color="000000" w:fill="D0D08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FFFFFF"/>
                <w:sz w:val="16"/>
                <w:szCs w:val="16"/>
              </w:rPr>
              <w:t>low-moderate</w:t>
            </w:r>
          </w:p>
        </w:tc>
        <w:tc>
          <w:tcPr>
            <w:tcW w:w="1099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DED,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Ulmus crassifolia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Cedar elm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new habitat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DED,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Ulmus parvifolia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Chinese elm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positive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ALB, invasive 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Ulmus rubra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Slippery elm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0006"/>
                <w:sz w:val="16"/>
                <w:szCs w:val="16"/>
              </w:rPr>
              <w:t>small decrease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large increase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medium</w:t>
            </w:r>
          </w:p>
        </w:tc>
        <w:tc>
          <w:tcPr>
            <w:tcW w:w="1380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1099" w:type="dxa"/>
            <w:shd w:val="clear" w:color="000000" w:fill="FFEB9C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moderate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DED, ALB</w:t>
            </w:r>
          </w:p>
        </w:tc>
      </w:tr>
      <w:tr w:rsidR="00B71EAB" w:rsidRPr="00A67341" w:rsidTr="00AF56EB">
        <w:trPr>
          <w:trHeight w:val="240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Zelkova serrata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Japanese zelkova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9C6500"/>
                <w:sz w:val="16"/>
                <w:szCs w:val="16"/>
              </w:rPr>
              <w:t>neutral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high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80" w:type="dxa"/>
            <w:shd w:val="clear" w:color="000000" w:fill="C6EFCE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</w:pPr>
            <w:r w:rsidRPr="00A67341">
              <w:rPr>
                <w:rFonts w:ascii="Calibri" w:eastAsia="Times New Roman" w:hAnsi="Calibri" w:cs="Times New Roman"/>
                <w:color w:val="006100"/>
                <w:sz w:val="16"/>
                <w:szCs w:val="16"/>
              </w:rPr>
              <w:t>low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30163B" w:rsidRPr="00A67341" w:rsidRDefault="00912213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30163B" w:rsidRPr="00A67341" w:rsidRDefault="0030163B" w:rsidP="00AF5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AF56EB" w:rsidRDefault="00AF56EB" w:rsidP="0030163B">
      <w:pPr>
        <w:pStyle w:val="Footer"/>
      </w:pPr>
    </w:p>
    <w:p w:rsidR="0030163B" w:rsidRDefault="00AF56EB" w:rsidP="0030163B">
      <w:pPr>
        <w:pStyle w:val="Footer"/>
      </w:pPr>
      <w:r w:rsidRPr="00AF56EB">
        <w:rPr>
          <w:vertAlign w:val="superscript"/>
        </w:rPr>
        <w:t>1</w:t>
      </w:r>
      <w:r w:rsidR="0030163B">
        <w:t xml:space="preserve">Effect of heat/hardiness zone is positive if zone shift leads to gain in suitable habitat and negative if it leads to reduction in suitable habitat. </w:t>
      </w:r>
    </w:p>
    <w:p w:rsidR="00AF56EB" w:rsidRDefault="00AF56EB" w:rsidP="0030163B">
      <w:pPr>
        <w:pStyle w:val="Footer"/>
      </w:pPr>
      <w:r>
        <w:rPr>
          <w:vertAlign w:val="superscript"/>
        </w:rPr>
        <w:t>2</w:t>
      </w:r>
      <w:r w:rsidR="0030163B">
        <w:t xml:space="preserve">Tree Atlas </w:t>
      </w:r>
      <w:r w:rsidR="00362365">
        <w:t>(</w:t>
      </w:r>
      <w:hyperlink r:id="rId6" w:history="1">
        <w:r w:rsidR="00362365" w:rsidRPr="002C4B72">
          <w:rPr>
            <w:rStyle w:val="Hyperlink"/>
          </w:rPr>
          <w:t>www.fs.fed.us/nrs/atlas</w:t>
        </w:r>
      </w:hyperlink>
      <w:r w:rsidR="00362365">
        <w:t xml:space="preserve">) </w:t>
      </w:r>
      <w:r>
        <w:t>results</w:t>
      </w:r>
      <w:r w:rsidR="0030163B">
        <w:t xml:space="preserve"> are summarized </w:t>
      </w:r>
      <w:r>
        <w:t>based on projected suitable habitat for the last 30 years of this century vs. current suitable habitat for the Boston region. Change class definitions can be found here</w:t>
      </w:r>
      <w:r w:rsidR="0030163B">
        <w:t xml:space="preserve">:  </w:t>
      </w:r>
      <w:hyperlink r:id="rId7" w:history="1">
        <w:r w:rsidRPr="002C4B72">
          <w:rPr>
            <w:rStyle w:val="Hyperlink"/>
          </w:rPr>
          <w:t>https://www.fs.fed.us/nrs/atlas/products/</w:t>
        </w:r>
      </w:hyperlink>
    </w:p>
    <w:p w:rsidR="0030163B" w:rsidRDefault="00362365" w:rsidP="0030163B">
      <w:pPr>
        <w:pStyle w:val="Footer"/>
      </w:pPr>
      <w:r w:rsidRPr="00362365">
        <w:rPr>
          <w:vertAlign w:val="superscript"/>
        </w:rPr>
        <w:t>3</w:t>
      </w:r>
      <w:r w:rsidR="0030163B">
        <w:t xml:space="preserve">Adapt Class </w:t>
      </w:r>
      <w:r>
        <w:t>has been modified from Matthews et al. 2011 (</w:t>
      </w:r>
      <w:hyperlink r:id="rId8" w:history="1">
        <w:r w:rsidR="0030163B" w:rsidRPr="00CF5939">
          <w:rPr>
            <w:rStyle w:val="Hyperlink"/>
          </w:rPr>
          <w:t>treesearch.fs.</w:t>
        </w:r>
        <w:r w:rsidR="0030163B" w:rsidRPr="00CF5939">
          <w:rPr>
            <w:rStyle w:val="Hyperlink"/>
          </w:rPr>
          <w:t>f</w:t>
        </w:r>
        <w:r w:rsidR="0030163B" w:rsidRPr="00CF5939">
          <w:rPr>
            <w:rStyle w:val="Hyperlink"/>
          </w:rPr>
          <w:t>ed.us/pubs/38643</w:t>
        </w:r>
      </w:hyperlink>
      <w:r>
        <w:rPr>
          <w:rStyle w:val="Hyperlink"/>
        </w:rPr>
        <w:t>).</w:t>
      </w:r>
    </w:p>
    <w:p w:rsidR="00362365" w:rsidRPr="00362365" w:rsidRDefault="00362365" w:rsidP="00B71EAB">
      <w:pPr>
        <w:pStyle w:val="Footer"/>
      </w:pPr>
      <w:r w:rsidRPr="00362365">
        <w:rPr>
          <w:vertAlign w:val="superscript"/>
        </w:rPr>
        <w:t>4</w:t>
      </w:r>
      <w:r>
        <w:t xml:space="preserve">Vulnerability is determined based on heat/hardiness zone effect, tree atlas projections (where available), and adaptability. Low: species is likely to adapt to future climate conditions in this area. High: species is likely to face considerable stress due to current and future climate changes. </w:t>
      </w:r>
    </w:p>
    <w:p w:rsidR="0030163B" w:rsidRDefault="00362365" w:rsidP="00B71EAB">
      <w:pPr>
        <w:pStyle w:val="Footer"/>
      </w:pPr>
      <w:r w:rsidRPr="00362365">
        <w:rPr>
          <w:vertAlign w:val="superscript"/>
        </w:rPr>
        <w:t>5</w:t>
      </w:r>
      <w:r w:rsidR="0030163B">
        <w:t>Notes:</w:t>
      </w:r>
      <w:r>
        <w:t xml:space="preserve"> These factors may make a species more vulnerable or less desirable for planting based on other factors. </w:t>
      </w:r>
      <w:r w:rsidR="0030163B">
        <w:t xml:space="preserve"> </w:t>
      </w:r>
      <w:r>
        <w:t xml:space="preserve">We note when a species is generally considered invasive. Also noted is </w:t>
      </w:r>
      <w:r w:rsidR="00B12560">
        <w:t>i</w:t>
      </w:r>
      <w:r w:rsidR="0030163B">
        <w:t xml:space="preserve">f it is a host to a </w:t>
      </w:r>
      <w:r>
        <w:t>particular</w:t>
      </w:r>
      <w:r w:rsidR="0030163B">
        <w:t xml:space="preserve"> pest or disease</w:t>
      </w:r>
      <w:r>
        <w:t xml:space="preserve"> that can lead to considerable stress or mortality</w:t>
      </w:r>
      <w:r w:rsidR="0030163B">
        <w:t>. ALB: Asian longhorned beetle, GM: gypsy moth, CB: chestnut blight, BBD: beech bark disease, OW: oak wilt, SB: spruce budworm, SPB: southern pine beetle, WPBR: white pine blister rust, DED: Dutch elm disease</w:t>
      </w:r>
    </w:p>
    <w:p w:rsidR="00B12560" w:rsidRDefault="00B12560" w:rsidP="00B71EAB">
      <w:pPr>
        <w:pStyle w:val="Footer"/>
      </w:pPr>
    </w:p>
    <w:p w:rsidR="00B12560" w:rsidRDefault="00B12560" w:rsidP="00B71EAB">
      <w:pPr>
        <w:pStyle w:val="Footer"/>
      </w:pPr>
      <w:r>
        <w:t>Note this version is in draft. If you have comments or questions, plea</w:t>
      </w:r>
      <w:bookmarkStart w:id="0" w:name="_GoBack"/>
      <w:bookmarkEnd w:id="0"/>
      <w:r>
        <w:t>se contact Leslie Brandt (</w:t>
      </w:r>
      <w:hyperlink r:id="rId9" w:history="1">
        <w:r w:rsidRPr="002C4B72">
          <w:rPr>
            <w:rStyle w:val="Hyperlink"/>
          </w:rPr>
          <w:t>lbrandt@fs.fed.us</w:t>
        </w:r>
      </w:hyperlink>
      <w:r>
        <w:t xml:space="preserve">) </w:t>
      </w:r>
    </w:p>
    <w:sectPr w:rsidR="00B12560" w:rsidSect="00FB14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D8" w:rsidRDefault="000C0BD8" w:rsidP="00FB1481">
      <w:pPr>
        <w:spacing w:after="0" w:line="240" w:lineRule="auto"/>
      </w:pPr>
      <w:r>
        <w:separator/>
      </w:r>
    </w:p>
  </w:endnote>
  <w:endnote w:type="continuationSeparator" w:id="0">
    <w:p w:rsidR="000C0BD8" w:rsidRDefault="000C0BD8" w:rsidP="00FB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D8" w:rsidRDefault="000C0BD8" w:rsidP="00FB1481">
      <w:pPr>
        <w:spacing w:after="0" w:line="240" w:lineRule="auto"/>
      </w:pPr>
      <w:r>
        <w:separator/>
      </w:r>
    </w:p>
  </w:footnote>
  <w:footnote w:type="continuationSeparator" w:id="0">
    <w:p w:rsidR="000C0BD8" w:rsidRDefault="000C0BD8" w:rsidP="00FB1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81"/>
    <w:rsid w:val="00087F20"/>
    <w:rsid w:val="000C0BD8"/>
    <w:rsid w:val="002314D0"/>
    <w:rsid w:val="0030163B"/>
    <w:rsid w:val="00362365"/>
    <w:rsid w:val="003A6D4F"/>
    <w:rsid w:val="005F49F2"/>
    <w:rsid w:val="006534F4"/>
    <w:rsid w:val="006707EE"/>
    <w:rsid w:val="00912213"/>
    <w:rsid w:val="00A67341"/>
    <w:rsid w:val="00AF56EB"/>
    <w:rsid w:val="00B12560"/>
    <w:rsid w:val="00B71EAB"/>
    <w:rsid w:val="00FB1481"/>
    <w:rsid w:val="00F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2E609-D74D-4622-8EA8-6CD814B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81"/>
  </w:style>
  <w:style w:type="paragraph" w:styleId="Footer">
    <w:name w:val="footer"/>
    <w:basedOn w:val="Normal"/>
    <w:link w:val="FooterChar"/>
    <w:uiPriority w:val="99"/>
    <w:unhideWhenUsed/>
    <w:rsid w:val="00FB1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81"/>
  </w:style>
  <w:style w:type="character" w:styleId="Hyperlink">
    <w:name w:val="Hyperlink"/>
    <w:basedOn w:val="DefaultParagraphFont"/>
    <w:uiPriority w:val="99"/>
    <w:unhideWhenUsed/>
    <w:rsid w:val="00FC32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esearch.fs.fed.us/pubs/386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.fed.us/nrs/atlas/produ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.fed.us/nrs/atla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brandt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Leslie A -FS</dc:creator>
  <cp:keywords/>
  <dc:description/>
  <cp:lastModifiedBy>Brandt, Leslie A -FS</cp:lastModifiedBy>
  <cp:revision>7</cp:revision>
  <dcterms:created xsi:type="dcterms:W3CDTF">2017-01-18T22:34:00Z</dcterms:created>
  <dcterms:modified xsi:type="dcterms:W3CDTF">2017-01-20T02:50:00Z</dcterms:modified>
</cp:coreProperties>
</file>